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rFonts w:ascii="Times New Roman" w:hAnsi="Times New Roman" w:cs="Times New Roman"/>
          <w:b/>
          <w:b/>
          <w:bCs/>
        </w:rPr>
      </w:pPr>
      <w:r>
        <w:rPr>
          <w:rFonts w:cs="Times New Roman" w:ascii="Times New Roman" w:hAnsi="Times New Roman"/>
          <w:b/>
          <w:bCs/>
          <w:lang w:val="en-US"/>
        </w:rPr>
        <w:t>EXPORT AND SANCTION CONTROL POLICY (hereinafter the POLICY)</w:t>
      </w:r>
    </w:p>
    <w:tbl>
      <w:tblPr>
        <w:tblStyle w:val="TableGrid"/>
        <w:tblW w:w="9209" w:type="dxa"/>
        <w:jc w:val="left"/>
        <w:tblInd w:w="0" w:type="dxa"/>
        <w:tblLayout w:type="fixed"/>
        <w:tblCellMar>
          <w:top w:w="0" w:type="dxa"/>
          <w:left w:w="108" w:type="dxa"/>
          <w:bottom w:w="0" w:type="dxa"/>
          <w:right w:w="108" w:type="dxa"/>
        </w:tblCellMar>
        <w:tblLook w:val="04a0"/>
      </w:tblPr>
      <w:tblGrid>
        <w:gridCol w:w="9209"/>
      </w:tblGrid>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b/>
                <w:bCs/>
                <w:kern w:val="2"/>
                <w:sz w:val="22"/>
                <w:szCs w:val="22"/>
                <w:lang w:val="en-US" w:eastAsia="en-US" w:bidi="ar-SA"/>
              </w:rPr>
              <w:t>DISCLAIMER</w:t>
            </w:r>
            <w:r>
              <w:rPr>
                <w:rFonts w:eastAsia="Aptos" w:cs="Times New Roman" w:ascii="Times New Roman" w:hAnsi="Times New Roman"/>
                <w:kern w:val="2"/>
                <w:sz w:val="22"/>
                <w:szCs w:val="22"/>
                <w:lang w:val="en-US" w:eastAsia="en-US" w:bidi="ar-SA"/>
              </w:rPr>
              <w:br/>
              <w:t>to observe the POLICY, we recommend that before ordering services, you read the list of goods that are permitted/banned for import/export in your countries and the list of individuals with restricted collaboration.</w:t>
            </w:r>
          </w:p>
        </w:tc>
      </w:tr>
      <w:tr>
        <w:trPr/>
        <w:tc>
          <w:tcPr>
            <w:tcW w:w="9209" w:type="dxa"/>
            <w:tcBorders>
              <w:top w:val="nil"/>
              <w:left w:val="nil"/>
              <w:bottom w:val="nil"/>
              <w:right w:val="nil"/>
            </w:tcBorders>
          </w:tcPr>
          <w:p>
            <w:pPr>
              <w:pStyle w:val="Normal"/>
              <w:widowControl/>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ru-RU" w:eastAsia="en-US" w:bidi="ar-SA"/>
              </w:rPr>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b/>
                <w:b/>
                <w:bCs/>
              </w:rPr>
            </w:pPr>
            <w:r>
              <w:rPr>
                <w:rFonts w:eastAsia="Aptos" w:cs="Times New Roman" w:ascii="Times New Roman" w:hAnsi="Times New Roman"/>
                <w:b/>
                <w:bCs/>
                <w:kern w:val="2"/>
                <w:sz w:val="22"/>
                <w:szCs w:val="22"/>
                <w:lang w:val="en-US" w:eastAsia="en-US" w:bidi="ar-SA"/>
              </w:rPr>
              <w:t>GOALS AND OBJECTIVES</w:t>
            </w:r>
          </w:p>
        </w:tc>
      </w:tr>
      <w:tr>
        <w:trPr/>
        <w:tc>
          <w:tcPr>
            <w:tcW w:w="9209" w:type="dxa"/>
            <w:tcBorders>
              <w:top w:val="nil"/>
              <w:left w:val="nil"/>
              <w:bottom w:val="nil"/>
              <w:right w:val="nil"/>
            </w:tcBorders>
          </w:tcPr>
          <w:p>
            <w:pPr>
              <w:pStyle w:val="Normal"/>
              <w:widowControl/>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ru-RU" w:eastAsia="en-US" w:bidi="ar-SA"/>
              </w:rPr>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color w:val="000000" w:themeColor="text1"/>
              </w:rPr>
            </w:pPr>
            <w:r>
              <w:rPr>
                <w:rFonts w:eastAsia="Aptos" w:cs="Times New Roman" w:ascii="Times New Roman" w:hAnsi="Times New Roman"/>
                <w:color w:val="000000" w:themeColor="text1"/>
                <w:kern w:val="2"/>
                <w:sz w:val="22"/>
                <w:szCs w:val="22"/>
                <w:lang w:val="en-US" w:eastAsia="en-US" w:bidi="ar-SA"/>
              </w:rPr>
              <w:t>- the POLICY is aimed at observing international trade laws, including relevant export restrictions and sanctions;</w:t>
            </w:r>
          </w:p>
        </w:tc>
      </w:tr>
      <w:tr>
        <w:trPr/>
        <w:tc>
          <w:tcPr>
            <w:tcW w:w="9209" w:type="dxa"/>
            <w:tcBorders>
              <w:top w:val="nil"/>
              <w:left w:val="nil"/>
              <w:bottom w:val="nil"/>
              <w:right w:val="nil"/>
            </w:tcBorders>
          </w:tcPr>
          <w:p>
            <w:pPr>
              <w:pStyle w:val="Normal"/>
              <w:widowControl/>
              <w:shd w:val="clear" w:color="auto" w:fill="FFFFFF"/>
              <w:bidi w:val="0"/>
              <w:spacing w:lineRule="auto" w:line="240" w:before="75" w:after="75"/>
              <w:jc w:val="left"/>
              <w:rPr>
                <w:rFonts w:ascii="Times New Roman" w:hAnsi="Times New Roman" w:eastAsia="Times New Roman" w:cs="Times New Roman"/>
                <w:color w:val="000000" w:themeColor="text1"/>
                <w:kern w:val="0"/>
                <w:lang w:eastAsia="ru-RU"/>
                <w14:ligatures w14:val="none"/>
              </w:rPr>
            </w:pPr>
            <w:r>
              <w:rPr>
                <w:rFonts w:cs="Times New Roman" w:ascii="Times New Roman" w:hAnsi="Times New Roman"/>
                <w:color w:val="000000" w:themeColor="text1"/>
                <w:kern w:val="2"/>
                <w:sz w:val="22"/>
                <w:szCs w:val="22"/>
                <w:lang w:val="en-US" w:eastAsia="en-US" w:bidi="ar-SA"/>
              </w:rPr>
              <w:t>- Non-compliance with the POLICY may result in harsh criminal and civil sanctions for the Contractor, Customer, beneficiary, and may also damage reputation;</w:t>
            </w:r>
          </w:p>
        </w:tc>
      </w:tr>
      <w:tr>
        <w:trPr/>
        <w:tc>
          <w:tcPr>
            <w:tcW w:w="9209" w:type="dxa"/>
            <w:tcBorders>
              <w:top w:val="nil"/>
              <w:left w:val="nil"/>
              <w:bottom w:val="nil"/>
              <w:right w:val="nil"/>
            </w:tcBorders>
          </w:tcPr>
          <w:p>
            <w:pPr>
              <w:pStyle w:val="Normal"/>
              <w:widowControl/>
              <w:shd w:val="clear" w:color="auto" w:fill="FFFFFF"/>
              <w:bidi w:val="0"/>
              <w:spacing w:lineRule="auto" w:line="240" w:before="75" w:after="75"/>
              <w:jc w:val="left"/>
              <w:rPr>
                <w:rFonts w:ascii="Times New Roman" w:hAnsi="Times New Roman" w:cs="Times New Roman"/>
              </w:rPr>
            </w:pPr>
            <w:r>
              <w:rPr>
                <w:rFonts w:eastAsia="Aptos" w:cs="Times New Roman" w:ascii="Times New Roman" w:hAnsi="Times New Roman"/>
                <w:kern w:val="2"/>
                <w:sz w:val="22"/>
                <w:szCs w:val="22"/>
                <w:lang w:val="en-US" w:eastAsia="en-US" w:bidi="ar-SA"/>
              </w:rPr>
              <w:t>- the guarantees written in the POLICY are obligatory, violation of the guarantees is grounds for losses, other compensations and changes in the collaboration conditions;</w:t>
            </w:r>
          </w:p>
        </w:tc>
      </w:tr>
      <w:tr>
        <w:trPr/>
        <w:tc>
          <w:tcPr>
            <w:tcW w:w="9209" w:type="dxa"/>
            <w:tcBorders>
              <w:top w:val="nil"/>
              <w:left w:val="nil"/>
              <w:bottom w:val="nil"/>
              <w:right w:val="nil"/>
            </w:tcBorders>
          </w:tcPr>
          <w:p>
            <w:pPr>
              <w:pStyle w:val="Normal"/>
              <w:widowControl/>
              <w:shd w:val="clear" w:color="auto" w:fill="FFFFFF"/>
              <w:bidi w:val="0"/>
              <w:spacing w:lineRule="auto" w:line="240" w:before="75" w:after="75"/>
              <w:jc w:val="left"/>
              <w:rPr>
                <w:rFonts w:ascii="Times New Roman" w:hAnsi="Times New Roman" w:cs="Times New Roman"/>
              </w:rPr>
            </w:pPr>
            <w:r>
              <w:rPr>
                <w:rFonts w:eastAsia="Aptos" w:cs="Times New Roman" w:ascii="Times New Roman" w:hAnsi="Times New Roman"/>
                <w:kern w:val="2"/>
                <w:sz w:val="22"/>
                <w:szCs w:val="22"/>
                <w:lang w:val="en-US" w:eastAsia="en-US" w:bidi="ar-SA"/>
              </w:rPr>
              <w:t>- since the export and sanction control legislation of countries is variable, the POLICY may be amended at any time without additional notification. We ask you to track such amendments carefully;</w:t>
            </w:r>
          </w:p>
        </w:tc>
      </w:tr>
      <w:tr>
        <w:trPr/>
        <w:tc>
          <w:tcPr>
            <w:tcW w:w="9209" w:type="dxa"/>
            <w:tcBorders>
              <w:top w:val="nil"/>
              <w:left w:val="nil"/>
              <w:bottom w:val="nil"/>
              <w:right w:val="nil"/>
            </w:tcBorders>
          </w:tcPr>
          <w:p>
            <w:pPr>
              <w:pStyle w:val="Normal"/>
              <w:widowControl/>
              <w:shd w:val="clear" w:color="auto" w:fill="FFFFFF"/>
              <w:bidi w:val="0"/>
              <w:spacing w:lineRule="auto" w:line="240" w:before="75" w:after="75"/>
              <w:jc w:val="left"/>
              <w:rPr>
                <w:rFonts w:ascii="Times New Roman" w:hAnsi="Times New Roman" w:cs="Times New Roman"/>
              </w:rPr>
            </w:pPr>
            <w:r>
              <w:rPr>
                <w:rFonts w:eastAsia="Aptos" w:cs="Times New Roman" w:ascii="Times New Roman" w:hAnsi="Times New Roman"/>
                <w:kern w:val="2"/>
                <w:sz w:val="22"/>
                <w:szCs w:val="22"/>
                <w:lang w:val="en-US" w:eastAsia="en-US" w:bidi="ar-SA"/>
              </w:rPr>
              <w:t>- "We", "Us", "to Us" in the POLICY shall mean the individual rendering services and referenced in the POLICY in our documents, contracts, terms and conditions for rendering services, etc.;</w:t>
            </w:r>
          </w:p>
        </w:tc>
      </w:tr>
      <w:tr>
        <w:trPr/>
        <w:tc>
          <w:tcPr>
            <w:tcW w:w="9209" w:type="dxa"/>
            <w:tcBorders>
              <w:top w:val="nil"/>
              <w:left w:val="nil"/>
              <w:bottom w:val="nil"/>
              <w:right w:val="nil"/>
            </w:tcBorders>
          </w:tcPr>
          <w:p>
            <w:pPr>
              <w:pStyle w:val="Normal"/>
              <w:widowControl/>
              <w:shd w:val="clear" w:color="auto" w:fill="FFFFFF"/>
              <w:bidi w:val="0"/>
              <w:spacing w:lineRule="auto" w:line="240" w:before="75" w:after="75"/>
              <w:jc w:val="left"/>
              <w:rPr>
                <w:rFonts w:ascii="Times New Roman" w:hAnsi="Times New Roman" w:cs="Times New Roman"/>
              </w:rPr>
            </w:pPr>
            <w:r>
              <w:rPr>
                <w:rFonts w:eastAsia="Aptos" w:cs="Times New Roman" w:ascii="Times New Roman" w:hAnsi="Times New Roman"/>
                <w:kern w:val="2"/>
                <w:sz w:val="22"/>
                <w:szCs w:val="22"/>
                <w:lang w:val="en-US" w:eastAsia="en-US" w:bidi="ar-SA"/>
              </w:rPr>
              <w:t>- the "/" sign in the POLICY shall be used to mean "and (or)";</w:t>
            </w:r>
          </w:p>
        </w:tc>
      </w:tr>
      <w:tr>
        <w:trPr/>
        <w:tc>
          <w:tcPr>
            <w:tcW w:w="9209" w:type="dxa"/>
            <w:tcBorders>
              <w:top w:val="nil"/>
              <w:left w:val="nil"/>
              <w:bottom w:val="nil"/>
              <w:right w:val="nil"/>
            </w:tcBorders>
          </w:tcPr>
          <w:p>
            <w:pPr>
              <w:pStyle w:val="Normal"/>
              <w:widowControl/>
              <w:shd w:val="clear" w:color="auto" w:fill="FFFFFF"/>
              <w:bidi w:val="0"/>
              <w:spacing w:lineRule="auto" w:line="240" w:before="75" w:after="75"/>
              <w:jc w:val="left"/>
              <w:rPr>
                <w:rFonts w:ascii="Times New Roman" w:hAnsi="Times New Roman" w:cs="Times New Roman"/>
              </w:rPr>
            </w:pPr>
            <w:r>
              <w:rPr>
                <w:rFonts w:eastAsia="Aptos" w:cs="Times New Roman" w:ascii="Times New Roman" w:hAnsi="Times New Roman"/>
                <w:kern w:val="2"/>
                <w:sz w:val="22"/>
                <w:szCs w:val="22"/>
                <w:lang w:val="en-US" w:eastAsia="en-US" w:bidi="ar-SA"/>
              </w:rPr>
              <w:t>- We can make an additional check of the senders, receivers, end users, other individuals, request additional guarantees/confirmations or refuse services if we have reasonable grounds to assume that rendering services may violate the goals of the POLICY.</w:t>
            </w:r>
          </w:p>
        </w:tc>
      </w:tr>
      <w:tr>
        <w:trPr/>
        <w:tc>
          <w:tcPr>
            <w:tcW w:w="9209" w:type="dxa"/>
            <w:tcBorders>
              <w:top w:val="nil"/>
              <w:left w:val="nil"/>
              <w:bottom w:val="nil"/>
              <w:right w:val="nil"/>
            </w:tcBorders>
          </w:tcPr>
          <w:p>
            <w:pPr>
              <w:pStyle w:val="Normal"/>
              <w:widowControl/>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ru-RU" w:eastAsia="en-US" w:bidi="ar-SA"/>
              </w:rPr>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b/>
                <w:b/>
                <w:bCs/>
              </w:rPr>
            </w:pPr>
            <w:r>
              <w:rPr>
                <w:rFonts w:eastAsia="Aptos" w:cs="Times New Roman" w:ascii="Times New Roman" w:hAnsi="Times New Roman"/>
                <w:b/>
                <w:bCs/>
                <w:kern w:val="2"/>
                <w:sz w:val="22"/>
                <w:szCs w:val="22"/>
                <w:lang w:val="en-US" w:eastAsia="en-US" w:bidi="ar-SA"/>
              </w:rPr>
              <w:t>POLICY TERMS AND CONDITIONS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By using the website/mobile app, on which you read the POLICY and/or order/receive through this website/mobile app services and/or if the terms and conditions for rendering services contain a link to the POLICY, you accept and agree to the following terms and conditions: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1) You guarantee that you are not on any blocking sanction lists (SDN list) in the United States, United Kingdom, European Union or any member state of the European Union (hereinafter sanction lists), shipping countries or shipment receiving countries.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2) You guarantee that you are not on any blocking sanction lists (SDN list) in the United States, United Kingdom, European Union or any member state of the European Union (hereinafter sanction lists) or countries in which services must be rendered.</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3) If you are a legal entity, you guarantee that you, your owners, controlling individuals and officials are not on any blocking sanction lists in the United States, United Kingdom, European Union or any other member state of the European Union (hereinafter sanction lists), shipping countries or shipment receiving countries.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4) If you are a legal entity, you guarantee that you, your owners/controlling individuals/officials/end beneficiaries are not on blocking sanction lists in the United States, United Kingdom, European Union or any member state of the European Union (hereinafter sanction lists) or countries in which services must be rendered.</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5) You guarantee that the services received by you shall not be directly or indirectly used for purposes linked to the activities/organization of activities aimed at direct or indirect violation of sector or blocking sanctions of the United States, United Kingdom, European Union or any member state of the European Union, shipping country, shipment receiving country or country rendering services, including in favor of individuals on sanction lists.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6) You guarantee that before transfer to us, you have carefully checked the contents of the shipment/composition of services and delivery of such shipment to the destination country/rendering services are legal from the viewpoint of the laws applicable to the participants in the legal relationships.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 xml:space="preserve">7) You guarantee that before transfer to us, you have carefully checked the contents of the shipment/composition of services and contents of the shipment are not on any lists of export, sanction or other type of control and may leave from the shipping country to the country </w:t>
            </w:r>
            <w:r>
              <w:rPr>
                <w:rFonts w:eastAsia="Aptos" w:cs="Times New Roman" w:ascii="Times New Roman" w:hAnsi="Times New Roman"/>
                <w:i/>
                <w:iCs/>
                <w:kern w:val="2"/>
                <w:sz w:val="22"/>
                <w:szCs w:val="22"/>
                <w:u w:val="single"/>
                <w:lang w:val="en-US" w:eastAsia="en-US" w:bidi="ar-SA"/>
              </w:rPr>
              <w:t xml:space="preserve">of final </w:t>
            </w:r>
            <w:r>
              <w:rPr>
                <w:rFonts w:eastAsia="Aptos" w:cs="Times New Roman" w:ascii="Times New Roman" w:hAnsi="Times New Roman"/>
                <w:kern w:val="2"/>
                <w:sz w:val="22"/>
                <w:szCs w:val="22"/>
                <w:lang w:val="en-US" w:eastAsia="en-US" w:bidi="ar-SA"/>
              </w:rPr>
              <w:t>destination on legal grounds.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8) You guarantee that regarding the contents in the shipment/ordered services, all obligations have been met for the requirements of customs, sanction legislation, legislation on export control and control of movement of military and dual purpose goods and other similar obligatory requirements of national and international law, the mandatory permits and licenses have been obtained and you can document the fulfillment of the listed requirements.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 xml:space="preserve">9) You guarantee that cl. 1 - 8 of the POLICY have been also been observed by the actual beneficiary of services/sender and receiver of shipments (services)/for </w:t>
            </w:r>
            <w:r>
              <w:rPr>
                <w:rFonts w:eastAsia="Aptos" w:cs="Times New Roman" w:ascii="Times New Roman" w:hAnsi="Times New Roman"/>
                <w:i/>
                <w:iCs/>
                <w:kern w:val="2"/>
                <w:sz w:val="22"/>
                <w:szCs w:val="22"/>
                <w:u w:val="single"/>
                <w:lang w:val="en-US" w:eastAsia="en-US" w:bidi="ar-SA"/>
              </w:rPr>
              <w:t>end users</w:t>
            </w:r>
            <w:r>
              <w:rPr>
                <w:rFonts w:eastAsia="Aptos" w:cs="Times New Roman" w:ascii="Times New Roman" w:hAnsi="Times New Roman"/>
                <w:kern w:val="2"/>
                <w:sz w:val="22"/>
                <w:szCs w:val="22"/>
                <w:lang w:val="en-US" w:eastAsia="en-US" w:bidi="ar-SA"/>
              </w:rPr>
              <w:t>of the contents in the shipments.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10) You guarantee that you yourself are responsible for tracking changes in the POLICY.</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11) In case of detection of violations/circumstances indicating violations/signs of violations of the guarantees given in the POLICY, we shall have the right to simultaneously or separately take the following actions: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 request additional information and clarifications;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 stop rendering services;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 cancel all or part of the contracts entered into with you or in your interests;</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 demand material compensation for the losses caused and the cost of services for all the specialists hired by us/our partners to resolve the situations caused by your violation of the Policy.</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12) By ordering services, you confirm the intention to compensate for our losses (including our officials, agents, mediators and our other partners) caused by your non-compliance with the POLICY</w:t>
            </w:r>
          </w:p>
        </w:tc>
      </w:tr>
      <w:tr>
        <w:trPr/>
        <w:tc>
          <w:tcPr>
            <w:tcW w:w="9209" w:type="dxa"/>
            <w:tcBorders>
              <w:top w:val="nil"/>
              <w:left w:val="nil"/>
              <w:bottom w:val="nil"/>
              <w:right w:val="nil"/>
            </w:tcBorders>
          </w:tcPr>
          <w:p>
            <w:pPr>
              <w:pStyle w:val="Normal"/>
              <w:widowControl/>
              <w:bidi w:val="0"/>
              <w:spacing w:lineRule="auto" w:line="240" w:before="0" w:after="0"/>
              <w:jc w:val="both"/>
              <w:rPr>
                <w:rFonts w:ascii="Times New Roman" w:hAnsi="Times New Roman" w:cs="Times New Roman"/>
              </w:rPr>
            </w:pPr>
            <w:r>
              <w:rPr>
                <w:rFonts w:eastAsia="Aptos" w:cs="Times New Roman" w:ascii="Times New Roman" w:hAnsi="Times New Roman"/>
                <w:kern w:val="2"/>
                <w:sz w:val="22"/>
                <w:szCs w:val="22"/>
                <w:lang w:val="en-US" w:eastAsia="en-US" w:bidi="ar-SA"/>
              </w:rPr>
              <w:t xml:space="preserve">13) Our cancellation of any contracts entered into with you/refusal to render services to you due to non-compliance of the services with the POLICY terms and conditions (even if this was identified after the start of rendering Services) due to your non-compliance with the POLICY </w:t>
            </w:r>
            <w:r>
              <w:rPr>
                <w:rFonts w:eastAsia="Aptos" w:cs="Times New Roman" w:ascii="Times New Roman" w:hAnsi="Times New Roman"/>
                <w:i/>
                <w:iCs/>
                <w:kern w:val="2"/>
                <w:sz w:val="22"/>
                <w:szCs w:val="22"/>
                <w:u w:val="single"/>
                <w:lang w:val="en-US" w:eastAsia="en-US" w:bidi="ar-SA"/>
              </w:rPr>
              <w:t>shall not be our fault for cancellation of the contract/refusal to render services/violation of the terms and conditions for rendering services/violation of the terms and conditions of the contract and shall not entail any liability on our part related to cancellation of the contract or our non-fulfillment of obligations.</w:t>
            </w:r>
          </w:p>
        </w:tc>
      </w:tr>
    </w:tbl>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widowControl/>
        <w:bidi w:val="0"/>
        <w:spacing w:lineRule="auto" w:line="254"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swiss"/>
    <w:pitch w:val="variable"/>
  </w:font>
  <w:font w:name="Calibri">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b7a52"/>
    <w:pPr>
      <w:widowControl/>
      <w:bidi w:val="0"/>
      <w:spacing w:lineRule="auto" w:line="254" w:before="0" w:after="160"/>
      <w:jc w:val="left"/>
    </w:pPr>
    <w:rPr>
      <w:rFonts w:ascii="Aptos" w:hAnsi="Aptos" w:eastAsia="Aptos" w:cs="" w:asciiTheme="minorHAnsi" w:cstheme="minorBidi" w:eastAsiaTheme="minorHAnsi" w:hAnsiTheme="minorHAnsi"/>
      <w:color w:val="auto"/>
      <w:kern w:val="2"/>
      <w:sz w:val="22"/>
      <w:szCs w:val="22"/>
      <w:lang w:val="ru-RU" w:eastAsia="en-US" w:bidi="ar-SA"/>
      <w14:ligatures w14:val="standardContextual"/>
    </w:rPr>
  </w:style>
  <w:style w:type="paragraph" w:styleId="1">
    <w:name w:val="Heading 1"/>
    <w:basedOn w:val="Normal"/>
    <w:next w:val="Normal"/>
    <w:link w:val="1"/>
    <w:uiPriority w:val="9"/>
    <w:qFormat/>
    <w:rsid w:val="00072fb5"/>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
    <w:uiPriority w:val="9"/>
    <w:semiHidden/>
    <w:unhideWhenUsed/>
    <w:qFormat/>
    <w:rsid w:val="00072fb5"/>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
    <w:uiPriority w:val="9"/>
    <w:semiHidden/>
    <w:unhideWhenUsed/>
    <w:qFormat/>
    <w:rsid w:val="00072fb5"/>
    <w:pPr>
      <w:keepNext w:val="true"/>
      <w:keepLines/>
      <w:spacing w:before="160" w:after="80"/>
      <w:outlineLvl w:val="2"/>
    </w:pPr>
    <w:rPr>
      <w:rFonts w:eastAsia="" w:cs="" w:cstheme="majorBidi" w:eastAsiaTheme="majorEastAsia"/>
      <w:color w:val="0F4761" w:themeColor="accent1" w:themeShade="bf"/>
      <w:sz w:val="28"/>
      <w:szCs w:val="28"/>
    </w:rPr>
  </w:style>
  <w:style w:type="paragraph" w:styleId="4">
    <w:name w:val="Heading 4"/>
    <w:basedOn w:val="Normal"/>
    <w:next w:val="Normal"/>
    <w:link w:val="4"/>
    <w:uiPriority w:val="9"/>
    <w:semiHidden/>
    <w:unhideWhenUsed/>
    <w:qFormat/>
    <w:rsid w:val="00072fb5"/>
    <w:pPr>
      <w:keepNext w:val="true"/>
      <w:keepLines/>
      <w:spacing w:before="80" w:after="40"/>
      <w:outlineLvl w:val="3"/>
    </w:pPr>
    <w:rPr>
      <w:rFonts w:eastAsia="" w:cs="" w:cstheme="majorBidi" w:eastAsiaTheme="majorEastAsia"/>
      <w:i/>
      <w:iCs/>
      <w:color w:val="0F4761" w:themeColor="accent1" w:themeShade="bf"/>
    </w:rPr>
  </w:style>
  <w:style w:type="paragraph" w:styleId="5">
    <w:name w:val="Heading 5"/>
    <w:basedOn w:val="Normal"/>
    <w:next w:val="Normal"/>
    <w:link w:val="5"/>
    <w:uiPriority w:val="9"/>
    <w:semiHidden/>
    <w:unhideWhenUsed/>
    <w:qFormat/>
    <w:rsid w:val="00072fb5"/>
    <w:pPr>
      <w:keepNext w:val="true"/>
      <w:keepLines/>
      <w:spacing w:before="80" w:after="40"/>
      <w:outlineLvl w:val="4"/>
    </w:pPr>
    <w:rPr>
      <w:rFonts w:eastAsia="" w:cs="" w:cstheme="majorBidi" w:eastAsiaTheme="majorEastAsia"/>
      <w:color w:val="0F4761" w:themeColor="accent1" w:themeShade="bf"/>
    </w:rPr>
  </w:style>
  <w:style w:type="paragraph" w:styleId="6">
    <w:name w:val="Heading 6"/>
    <w:basedOn w:val="Normal"/>
    <w:next w:val="Normal"/>
    <w:link w:val="6"/>
    <w:uiPriority w:val="9"/>
    <w:semiHidden/>
    <w:unhideWhenUsed/>
    <w:qFormat/>
    <w:rsid w:val="00072fb5"/>
    <w:pPr>
      <w:keepNext w:val="true"/>
      <w:keepLines/>
      <w:spacing w:before="40" w:after="0"/>
      <w:outlineLvl w:val="5"/>
    </w:pPr>
    <w:rPr>
      <w:rFonts w:eastAsia="" w:cs="" w:cstheme="majorBidi" w:eastAsiaTheme="majorEastAsia"/>
      <w:i/>
      <w:iCs/>
      <w:color w:val="595959" w:themeColor="text1" w:themeTint="a6"/>
    </w:rPr>
  </w:style>
  <w:style w:type="paragraph" w:styleId="7">
    <w:name w:val="Heading 7"/>
    <w:basedOn w:val="Normal"/>
    <w:next w:val="Normal"/>
    <w:link w:val="7"/>
    <w:uiPriority w:val="9"/>
    <w:semiHidden/>
    <w:unhideWhenUsed/>
    <w:qFormat/>
    <w:rsid w:val="00072fb5"/>
    <w:pPr>
      <w:keepNext w:val="true"/>
      <w:keepLines/>
      <w:spacing w:before="40" w:after="0"/>
      <w:outlineLvl w:val="6"/>
    </w:pPr>
    <w:rPr>
      <w:rFonts w:eastAsia="" w:cs="" w:cstheme="majorBidi" w:eastAsiaTheme="majorEastAsia"/>
      <w:color w:val="595959" w:themeColor="text1" w:themeTint="a6"/>
    </w:rPr>
  </w:style>
  <w:style w:type="paragraph" w:styleId="8">
    <w:name w:val="Heading 8"/>
    <w:basedOn w:val="Normal"/>
    <w:next w:val="Normal"/>
    <w:link w:val="8"/>
    <w:uiPriority w:val="9"/>
    <w:semiHidden/>
    <w:unhideWhenUsed/>
    <w:qFormat/>
    <w:rsid w:val="00072fb5"/>
    <w:pPr>
      <w:keepNext w:val="true"/>
      <w:keepLines/>
      <w:spacing w:before="0" w:after="0"/>
      <w:outlineLvl w:val="7"/>
    </w:pPr>
    <w:rPr>
      <w:rFonts w:eastAsia="" w:cs="" w:cstheme="majorBidi" w:eastAsiaTheme="majorEastAsia"/>
      <w:i/>
      <w:iCs/>
      <w:color w:val="272727" w:themeColor="text1" w:themeTint="d8"/>
    </w:rPr>
  </w:style>
  <w:style w:type="paragraph" w:styleId="9">
    <w:name w:val="Heading 9"/>
    <w:basedOn w:val="Normal"/>
    <w:next w:val="Normal"/>
    <w:link w:val="9"/>
    <w:uiPriority w:val="9"/>
    <w:semiHidden/>
    <w:unhideWhenUsed/>
    <w:qFormat/>
    <w:rsid w:val="00072fb5"/>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Heading1"/>
    <w:uiPriority w:val="9"/>
    <w:qFormat/>
    <w:rsid w:val="00072fb5"/>
    <w:rPr>
      <w:rFonts w:ascii="Aptos Display" w:hAnsi="Aptos Display" w:eastAsia=""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Heading2"/>
    <w:uiPriority w:val="9"/>
    <w:semiHidden/>
    <w:qFormat/>
    <w:rsid w:val="00072fb5"/>
    <w:rPr>
      <w:rFonts w:ascii="Aptos Display" w:hAnsi="Aptos Display" w:eastAsia=""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Heading3"/>
    <w:uiPriority w:val="9"/>
    <w:semiHidden/>
    <w:qFormat/>
    <w:rsid w:val="00072fb5"/>
    <w:rPr>
      <w:rFonts w:eastAsia="" w:cs="" w:cstheme="majorBidi" w:eastAsiaTheme="majorEastAsia"/>
      <w:color w:val="0F4761" w:themeColor="accent1" w:themeShade="bf"/>
      <w:sz w:val="28"/>
      <w:szCs w:val="28"/>
    </w:rPr>
  </w:style>
  <w:style w:type="character" w:styleId="41" w:customStyle="1">
    <w:name w:val="Заголовок 4 Знак"/>
    <w:basedOn w:val="DefaultParagraphFont"/>
    <w:link w:val="Heading4"/>
    <w:uiPriority w:val="9"/>
    <w:semiHidden/>
    <w:qFormat/>
    <w:rsid w:val="00072fb5"/>
    <w:rPr>
      <w:rFonts w:eastAsia="" w:cs="" w:cstheme="majorBidi" w:eastAsiaTheme="majorEastAsia"/>
      <w:i/>
      <w:iCs/>
      <w:color w:val="0F4761" w:themeColor="accent1" w:themeShade="bf"/>
    </w:rPr>
  </w:style>
  <w:style w:type="character" w:styleId="51" w:customStyle="1">
    <w:name w:val="Заголовок 5 Знак"/>
    <w:basedOn w:val="DefaultParagraphFont"/>
    <w:link w:val="Heading5"/>
    <w:uiPriority w:val="9"/>
    <w:semiHidden/>
    <w:qFormat/>
    <w:rsid w:val="00072fb5"/>
    <w:rPr>
      <w:rFonts w:eastAsia="" w:cs="" w:cstheme="majorBidi" w:eastAsiaTheme="majorEastAsia"/>
      <w:color w:val="0F4761" w:themeColor="accent1" w:themeShade="bf"/>
    </w:rPr>
  </w:style>
  <w:style w:type="character" w:styleId="61" w:customStyle="1">
    <w:name w:val="Заголовок 6 Знак"/>
    <w:basedOn w:val="DefaultParagraphFont"/>
    <w:link w:val="Heading6"/>
    <w:uiPriority w:val="9"/>
    <w:semiHidden/>
    <w:qFormat/>
    <w:rsid w:val="00072fb5"/>
    <w:rPr>
      <w:rFonts w:eastAsia="" w:cs="" w:cstheme="majorBidi" w:eastAsiaTheme="majorEastAsia"/>
      <w:i/>
      <w:iCs/>
      <w:color w:val="595959" w:themeColor="text1" w:themeTint="a6"/>
    </w:rPr>
  </w:style>
  <w:style w:type="character" w:styleId="71" w:customStyle="1">
    <w:name w:val="Заголовок 7 Знак"/>
    <w:basedOn w:val="DefaultParagraphFont"/>
    <w:link w:val="Heading7"/>
    <w:uiPriority w:val="9"/>
    <w:semiHidden/>
    <w:qFormat/>
    <w:rsid w:val="00072fb5"/>
    <w:rPr>
      <w:rFonts w:eastAsia="" w:cs="" w:cstheme="majorBidi" w:eastAsiaTheme="majorEastAsia"/>
      <w:color w:val="595959" w:themeColor="text1" w:themeTint="a6"/>
    </w:rPr>
  </w:style>
  <w:style w:type="character" w:styleId="81" w:customStyle="1">
    <w:name w:val="Заголовок 8 Знак"/>
    <w:basedOn w:val="DefaultParagraphFont"/>
    <w:link w:val="Heading8"/>
    <w:uiPriority w:val="9"/>
    <w:semiHidden/>
    <w:qFormat/>
    <w:rsid w:val="00072fb5"/>
    <w:rPr>
      <w:rFonts w:eastAsia="" w:cs="" w:cstheme="majorBidi" w:eastAsiaTheme="majorEastAsia"/>
      <w:i/>
      <w:iCs/>
      <w:color w:val="272727" w:themeColor="text1" w:themeTint="d8"/>
    </w:rPr>
  </w:style>
  <w:style w:type="character" w:styleId="91" w:customStyle="1">
    <w:name w:val="Заголовок 9 Знак"/>
    <w:basedOn w:val="DefaultParagraphFont"/>
    <w:link w:val="Heading9"/>
    <w:uiPriority w:val="9"/>
    <w:semiHidden/>
    <w:qFormat/>
    <w:rsid w:val="00072fb5"/>
    <w:rPr>
      <w:rFonts w:eastAsia="" w:cs="" w:cstheme="majorBidi" w:eastAsiaTheme="majorEastAsia"/>
      <w:color w:val="272727" w:themeColor="text1" w:themeTint="d8"/>
    </w:rPr>
  </w:style>
  <w:style w:type="character" w:styleId="Style5" w:customStyle="1">
    <w:name w:val="Заголовок Знак"/>
    <w:basedOn w:val="DefaultParagraphFont"/>
    <w:link w:val="Title"/>
    <w:uiPriority w:val="10"/>
    <w:qFormat/>
    <w:rsid w:val="00072fb5"/>
    <w:rPr>
      <w:rFonts w:ascii="Aptos Display" w:hAnsi="Aptos Display" w:eastAsia=""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Subtitle"/>
    <w:uiPriority w:val="11"/>
    <w:qFormat/>
    <w:rsid w:val="00072fb5"/>
    <w:rPr>
      <w:rFonts w:eastAsia="" w:cs="" w:cstheme="majorBidi" w:eastAsiaTheme="majorEastAsia"/>
      <w:color w:val="595959" w:themeColor="text1" w:themeTint="a6"/>
      <w:spacing w:val="15"/>
      <w:sz w:val="28"/>
      <w:szCs w:val="28"/>
    </w:rPr>
  </w:style>
  <w:style w:type="character" w:styleId="22" w:customStyle="1">
    <w:name w:val="Цитата 2 Знак"/>
    <w:basedOn w:val="DefaultParagraphFont"/>
    <w:link w:val="Quote"/>
    <w:uiPriority w:val="29"/>
    <w:qFormat/>
    <w:rsid w:val="00072fb5"/>
    <w:rPr>
      <w:i/>
      <w:iCs/>
      <w:color w:val="404040" w:themeColor="text1" w:themeTint="bf"/>
    </w:rPr>
  </w:style>
  <w:style w:type="character" w:styleId="IntenseEmphasis">
    <w:name w:val="Intense Emphasis"/>
    <w:basedOn w:val="DefaultParagraphFont"/>
    <w:uiPriority w:val="21"/>
    <w:qFormat/>
    <w:rsid w:val="00072fb5"/>
    <w:rPr>
      <w:i/>
      <w:iCs/>
      <w:color w:val="0F4761" w:themeColor="accent1" w:themeShade="bf"/>
    </w:rPr>
  </w:style>
  <w:style w:type="character" w:styleId="Style7" w:customStyle="1">
    <w:name w:val="Выделенная цитата Знак"/>
    <w:basedOn w:val="DefaultParagraphFont"/>
    <w:link w:val="IntenseQuote"/>
    <w:uiPriority w:val="30"/>
    <w:qFormat/>
    <w:rsid w:val="00072fb5"/>
    <w:rPr>
      <w:i/>
      <w:iCs/>
      <w:color w:val="0F4761" w:themeColor="accent1" w:themeShade="bf"/>
    </w:rPr>
  </w:style>
  <w:style w:type="character" w:styleId="IntenseReference">
    <w:name w:val="Intense Reference"/>
    <w:basedOn w:val="DefaultParagraphFont"/>
    <w:uiPriority w:val="32"/>
    <w:qFormat/>
    <w:rsid w:val="00072fb5"/>
    <w:rPr>
      <w:b/>
      <w:bCs/>
      <w:smallCaps/>
      <w:color w:val="0F4761" w:themeColor="accent1" w:themeShade="bf"/>
      <w:spacing w:val="5"/>
    </w:rPr>
  </w:style>
  <w:style w:type="paragraph" w:styleId="Style8">
    <w:name w:val="Заголовок"/>
    <w:basedOn w:val="Normal"/>
    <w:next w:val="Style9"/>
    <w:qFormat/>
    <w:pPr>
      <w:keepNext w:val="true"/>
      <w:spacing w:before="240" w:after="120"/>
    </w:pPr>
    <w:rPr>
      <w:rFonts w:ascii="Liberation Sans" w:hAnsi="Liberation Sans" w:eastAsia="Microsoft YaHei" w:cs="Lucida 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Lucida Sans"/>
    </w:rPr>
  </w:style>
  <w:style w:type="paragraph" w:styleId="Style11">
    <w:name w:val="Caption"/>
    <w:basedOn w:val="Normal"/>
    <w:qFormat/>
    <w:pPr>
      <w:suppressLineNumbers/>
      <w:spacing w:before="120" w:after="120"/>
    </w:pPr>
    <w:rPr>
      <w:rFonts w:cs="Lucida Sans"/>
      <w:i/>
      <w:iCs/>
      <w:sz w:val="24"/>
      <w:szCs w:val="24"/>
    </w:rPr>
  </w:style>
  <w:style w:type="paragraph" w:styleId="Style12">
    <w:name w:val="Указатель"/>
    <w:basedOn w:val="Normal"/>
    <w:qFormat/>
    <w:pPr>
      <w:suppressLineNumbers/>
    </w:pPr>
    <w:rPr>
      <w:rFonts w:cs="Lucida Sans"/>
      <w:lang w:val="zxx" w:eastAsia="zxx" w:bidi="zxx"/>
    </w:rPr>
  </w:style>
  <w:style w:type="paragraph" w:styleId="Style13">
    <w:name w:val="Title"/>
    <w:basedOn w:val="Normal"/>
    <w:next w:val="Normal"/>
    <w:link w:val="a"/>
    <w:uiPriority w:val="10"/>
    <w:qFormat/>
    <w:rsid w:val="00072fb5"/>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tyle14">
    <w:name w:val="Subtitle"/>
    <w:basedOn w:val="Normal"/>
    <w:next w:val="Normal"/>
    <w:link w:val="a0"/>
    <w:uiPriority w:val="11"/>
    <w:qFormat/>
    <w:rsid w:val="00072fb5"/>
    <w:pPr/>
    <w:rPr>
      <w:rFonts w:eastAsia="" w:cs="" w:cstheme="majorBidi" w:eastAsiaTheme="majorEastAsia"/>
      <w:color w:val="595959" w:themeColor="text1" w:themeTint="a6"/>
      <w:spacing w:val="15"/>
      <w:sz w:val="28"/>
      <w:szCs w:val="28"/>
    </w:rPr>
  </w:style>
  <w:style w:type="paragraph" w:styleId="Quote">
    <w:name w:val="Quote"/>
    <w:basedOn w:val="Normal"/>
    <w:next w:val="Normal"/>
    <w:link w:val="20"/>
    <w:uiPriority w:val="29"/>
    <w:qFormat/>
    <w:rsid w:val="00072fb5"/>
    <w:pPr>
      <w:spacing w:before="160" w:after="160"/>
      <w:jc w:val="center"/>
    </w:pPr>
    <w:rPr>
      <w:i/>
      <w:iCs/>
      <w:color w:val="404040" w:themeColor="text1" w:themeTint="bf"/>
    </w:rPr>
  </w:style>
  <w:style w:type="paragraph" w:styleId="ListParagraph">
    <w:name w:val="List Paragraph"/>
    <w:basedOn w:val="Normal"/>
    <w:uiPriority w:val="34"/>
    <w:qFormat/>
    <w:rsid w:val="00072fb5"/>
    <w:pPr>
      <w:spacing w:before="0" w:after="160"/>
      <w:ind w:left="720" w:hanging="0"/>
      <w:contextualSpacing/>
    </w:pPr>
    <w:rPr/>
  </w:style>
  <w:style w:type="paragraph" w:styleId="IntenseQuote">
    <w:name w:val="Intense Quote"/>
    <w:basedOn w:val="Normal"/>
    <w:next w:val="Normal"/>
    <w:link w:val="a1"/>
    <w:uiPriority w:val="30"/>
    <w:qFormat/>
    <w:rsid w:val="00072fb5"/>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andard" w:customStyle="1">
    <w:name w:val="Standard"/>
    <w:qFormat/>
    <w:rsid w:val="00db7a52"/>
    <w:pPr>
      <w:widowControl/>
      <w:suppressAutoHyphens w:val="true"/>
      <w:bidi w:val="0"/>
      <w:spacing w:lineRule="auto" w:line="240" w:before="0" w:after="0"/>
      <w:jc w:val="left"/>
    </w:pPr>
    <w:rPr>
      <w:rFonts w:ascii="Calibri" w:hAnsi="Calibri" w:eastAsia="Segoe UI" w:cs="Tahoma"/>
      <w:color w:val="000000"/>
      <w:kern w:val="0"/>
      <w:sz w:val="22"/>
      <w:szCs w:val="24"/>
      <w:lang w:val="en-US" w:eastAsia="zh-CN" w:bidi="en-US"/>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b7a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Application>LibreOffice/7.2.5.2$Windows_X86_64 LibreOffice_project/499f9727c189e6ef3471021d6132d4c694f357e5</Application>
  <AppVersion>15.0000</AppVersion>
  <Pages>2</Pages>
  <Words>937</Words>
  <Characters>5152</Characters>
  <CharactersWithSpaces>6060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2023-12-20T11:53:00Z</dcterms:created>
  <dc:creator>Корнилова Олеся Юрьевна</dc:creator>
  <dc:description/>
  <dc:language>ru-RU</dc:language>
  <cp:lastModifiedBy>Корнилова Олеся Юрьевна</cp:lastModifiedBy>
  <dcterms:modified xsi:type="dcterms:W3CDTF">2023-12-21T06:35:00Z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